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4CC8" w14:textId="558C595F" w:rsidR="00E50AC8" w:rsidRDefault="00BB78D1">
      <w:pPr>
        <w:pStyle w:val="Body"/>
        <w:rPr>
          <w:rFonts w:ascii="Arial" w:hAnsi="Arial"/>
          <w:b/>
          <w:bCs/>
          <w:color w:val="262626"/>
          <w:sz w:val="24"/>
          <w:szCs w:val="24"/>
          <w:u w:color="262626"/>
        </w:rPr>
      </w:pPr>
      <w:r>
        <w:rPr>
          <w:rFonts w:ascii="Arial" w:hAnsi="Arial"/>
          <w:b/>
          <w:bCs/>
          <w:noProof/>
          <w:color w:val="262626"/>
          <w:sz w:val="24"/>
          <w:szCs w:val="24"/>
          <w:u w:color="262626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044D7F36" wp14:editId="7821DC54">
            <wp:simplePos x="0" y="0"/>
            <wp:positionH relativeFrom="margin">
              <wp:posOffset>3962400</wp:posOffset>
            </wp:positionH>
            <wp:positionV relativeFrom="paragraph">
              <wp:posOffset>0</wp:posOffset>
            </wp:positionV>
            <wp:extent cx="2276934" cy="72390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3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5B0AE" w14:textId="77777777" w:rsidR="00BB78D1" w:rsidRDefault="00BB78D1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  <w:r>
        <w:rPr>
          <w:rFonts w:ascii="Arial" w:hAnsi="Arial"/>
          <w:b/>
          <w:bCs/>
          <w:color w:val="262626"/>
          <w:sz w:val="36"/>
          <w:szCs w:val="36"/>
          <w:u w:color="262626"/>
        </w:rPr>
        <w:t xml:space="preserve">                                      </w:t>
      </w:r>
    </w:p>
    <w:p w14:paraId="361E3A24" w14:textId="77777777" w:rsidR="00BB78D1" w:rsidRDefault="00BB78D1">
      <w:pPr>
        <w:pStyle w:val="Body"/>
        <w:rPr>
          <w:rFonts w:ascii="Arial" w:hAnsi="Arial"/>
          <w:b/>
          <w:bCs/>
          <w:color w:val="262626"/>
          <w:sz w:val="36"/>
          <w:szCs w:val="36"/>
          <w:u w:color="262626"/>
        </w:rPr>
      </w:pPr>
    </w:p>
    <w:p w14:paraId="1CB33974" w14:textId="40A94142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32"/>
          <w:szCs w:val="32"/>
          <w:u w:color="262626"/>
        </w:rPr>
      </w:pPr>
      <w:r w:rsidRPr="00BB78D1">
        <w:rPr>
          <w:rFonts w:ascii="Arial" w:hAnsi="Arial"/>
          <w:b/>
          <w:bCs/>
          <w:color w:val="1B3257"/>
          <w:sz w:val="36"/>
          <w:szCs w:val="36"/>
          <w:u w:color="262626"/>
        </w:rPr>
        <w:t>Oscar Kilo Awards 2022</w:t>
      </w:r>
      <w:r w:rsidRPr="00BB78D1">
        <w:rPr>
          <w:rFonts w:ascii="Arial" w:hAnsi="Arial"/>
          <w:b/>
          <w:bCs/>
          <w:color w:val="1B3257"/>
          <w:sz w:val="32"/>
          <w:szCs w:val="32"/>
          <w:u w:color="262626"/>
        </w:rPr>
        <w:t xml:space="preserve"> </w:t>
      </w:r>
      <w:r w:rsidRPr="00BB78D1">
        <w:rPr>
          <w:rFonts w:ascii="Arial" w:eastAsia="Arial" w:hAnsi="Arial" w:cs="Arial"/>
          <w:b/>
          <w:bCs/>
          <w:color w:val="1B3257"/>
          <w:sz w:val="32"/>
          <w:szCs w:val="32"/>
          <w:u w:color="262626"/>
        </w:rPr>
        <w:t xml:space="preserve">- </w:t>
      </w:r>
      <w:r w:rsidRPr="00BB78D1">
        <w:rPr>
          <w:rFonts w:ascii="Arial" w:hAnsi="Arial"/>
          <w:b/>
          <w:bCs/>
          <w:color w:val="1B3257"/>
          <w:sz w:val="36"/>
          <w:szCs w:val="36"/>
          <w:u w:color="262626"/>
        </w:rPr>
        <w:t>Guidance Notes</w:t>
      </w:r>
    </w:p>
    <w:p w14:paraId="22AFE0CC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36"/>
          <w:szCs w:val="36"/>
          <w:u w:color="262626"/>
        </w:rPr>
      </w:pPr>
      <w:r w:rsidRPr="00BB78D1">
        <w:rPr>
          <w:rFonts w:ascii="Arial" w:eastAsia="Arial" w:hAnsi="Arial" w:cs="Arial"/>
          <w:b/>
          <w:bCs/>
          <w:noProof/>
          <w:color w:val="1B3257"/>
          <w:sz w:val="32"/>
          <w:szCs w:val="32"/>
          <w:u w:color="26262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37FFE9" wp14:editId="42615221">
                <wp:simplePos x="0" y="0"/>
                <wp:positionH relativeFrom="column">
                  <wp:posOffset>52387</wp:posOffset>
                </wp:positionH>
                <wp:positionV relativeFrom="line">
                  <wp:posOffset>46672</wp:posOffset>
                </wp:positionV>
                <wp:extent cx="5734051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B325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.1pt;margin-top:3.7pt;width:451.5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1B3257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04FBACA" w14:textId="77777777" w:rsidR="00E50AC8" w:rsidRPr="00BB78D1" w:rsidRDefault="00BB78D1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Introduction</w:t>
      </w:r>
    </w:p>
    <w:p w14:paraId="1DBDB891" w14:textId="035ADB61" w:rsidR="00E50AC8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These awards have been created to </w:t>
      </w:r>
      <w:proofErr w:type="spellStart"/>
      <w:r w:rsidRPr="00BB78D1">
        <w:rPr>
          <w:rFonts w:ascii="Arial" w:hAnsi="Arial"/>
          <w:color w:val="1B3257"/>
          <w:u w:color="262626"/>
          <w:lang w:val="en-US"/>
        </w:rPr>
        <w:t>recognise</w:t>
      </w:r>
      <w:proofErr w:type="spellEnd"/>
      <w:r w:rsidRPr="00BB78D1">
        <w:rPr>
          <w:rFonts w:ascii="Arial" w:hAnsi="Arial"/>
          <w:color w:val="1B3257"/>
          <w:u w:color="262626"/>
          <w:lang w:val="en-US"/>
        </w:rPr>
        <w:t xml:space="preserve"> the amazing work that has been done, and continues to be done, across UK policing when it comes to providing wellbeing support for the workforce.</w:t>
      </w:r>
    </w:p>
    <w:p w14:paraId="125E5CB5" w14:textId="6892E89C" w:rsidR="00E50AC8" w:rsidRDefault="00BB78D1">
      <w:pPr>
        <w:pStyle w:val="Body"/>
        <w:rPr>
          <w:rFonts w:ascii="Arial" w:hAnsi="Arial"/>
          <w:color w:val="1B3257"/>
          <w:u w:color="262626"/>
          <w:lang w:val="en-US"/>
        </w:rPr>
      </w:pPr>
      <w:r w:rsidRPr="00BB78D1">
        <w:rPr>
          <w:rFonts w:ascii="Arial" w:hAnsi="Arial"/>
          <w:color w:val="1B3257"/>
          <w:u w:color="262626"/>
          <w:lang w:val="en-US"/>
        </w:rPr>
        <w:t>The information below provides details of the categories and the entry criteria – please read all of the criteria carefully then complete the application form.</w:t>
      </w:r>
    </w:p>
    <w:p w14:paraId="062E6C16" w14:textId="77777777" w:rsidR="000100C8" w:rsidRPr="00BB78D1" w:rsidRDefault="000100C8" w:rsidP="000100C8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Applications open on the </w:t>
      </w:r>
      <w:r>
        <w:rPr>
          <w:rFonts w:ascii="Arial" w:hAnsi="Arial"/>
          <w:color w:val="1B3257"/>
          <w:u w:color="262626"/>
        </w:rPr>
        <w:t>18 January 2022</w:t>
      </w:r>
    </w:p>
    <w:p w14:paraId="3DF535A0" w14:textId="77777777" w:rsidR="000100C8" w:rsidRPr="00BB78D1" w:rsidRDefault="000100C8" w:rsidP="000100C8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Deadline for submissions will be </w:t>
      </w:r>
      <w:r>
        <w:rPr>
          <w:rFonts w:ascii="Arial" w:hAnsi="Arial"/>
          <w:color w:val="1B3257"/>
          <w:u w:color="262626"/>
        </w:rPr>
        <w:t xml:space="preserve">11 </w:t>
      </w:r>
      <w:r w:rsidRPr="00BB78D1">
        <w:rPr>
          <w:rFonts w:ascii="Arial" w:hAnsi="Arial"/>
          <w:color w:val="1B3257"/>
          <w:u w:color="262626"/>
        </w:rPr>
        <w:t>March 2022</w:t>
      </w:r>
    </w:p>
    <w:p w14:paraId="491750EA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E87ED96" w14:textId="77777777" w:rsidR="00E50AC8" w:rsidRPr="00BB78D1" w:rsidRDefault="00BB78D1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Entry Criteria</w:t>
      </w:r>
    </w:p>
    <w:p w14:paraId="5FB25F65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Please read the following criteria carefully in making your decision to submit an application</w:t>
      </w:r>
    </w:p>
    <w:p w14:paraId="59027F9B" w14:textId="77777777" w:rsidR="00E50AC8" w:rsidRPr="00BB78D1" w:rsidRDefault="00E50AC8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</w:p>
    <w:p w14:paraId="4FE635F3" w14:textId="3A1BE9C4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The awards are open to police forces from across the UK</w:t>
      </w:r>
      <w:r>
        <w:rPr>
          <w:rFonts w:ascii="Arial" w:hAnsi="Arial"/>
          <w:color w:val="1B3257"/>
          <w:u w:color="262626"/>
        </w:rPr>
        <w:t>.</w:t>
      </w:r>
    </w:p>
    <w:p w14:paraId="484EFC19" w14:textId="77777777" w:rsidR="00E50AC8" w:rsidRPr="00BB78D1" w:rsidRDefault="00E50AC8" w:rsidP="00BB78D1">
      <w:pPr>
        <w:rPr>
          <w:rFonts w:ascii="Arial" w:eastAsia="Arial" w:hAnsi="Arial" w:cs="Arial"/>
          <w:color w:val="1B3257"/>
          <w:u w:color="262626"/>
        </w:rPr>
      </w:pPr>
    </w:p>
    <w:p w14:paraId="192A28D2" w14:textId="77777777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Entries may be submitted for multiple categories but each submission must be tailored to fit the category for which you are applying.</w:t>
      </w:r>
    </w:p>
    <w:p w14:paraId="016CBCAF" w14:textId="77777777" w:rsidR="00E50AC8" w:rsidRPr="00BB78D1" w:rsidRDefault="00E50AC8" w:rsidP="00BB78D1">
      <w:pPr>
        <w:rPr>
          <w:rFonts w:ascii="Arial" w:eastAsia="Arial" w:hAnsi="Arial" w:cs="Arial"/>
          <w:color w:val="1B3257"/>
          <w:u w:color="262626"/>
        </w:rPr>
      </w:pPr>
    </w:p>
    <w:p w14:paraId="438F487C" w14:textId="53466F7A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If you are nominated, you will be able to invited to join us for our </w:t>
      </w:r>
      <w:r>
        <w:rPr>
          <w:rFonts w:ascii="Arial" w:hAnsi="Arial"/>
          <w:color w:val="1B3257"/>
          <w:u w:color="262626"/>
        </w:rPr>
        <w:t>a</w:t>
      </w:r>
      <w:r w:rsidRPr="00BB78D1">
        <w:rPr>
          <w:rFonts w:ascii="Arial" w:hAnsi="Arial"/>
          <w:color w:val="1B3257"/>
          <w:u w:color="262626"/>
        </w:rPr>
        <w:t>wards ceremony</w:t>
      </w:r>
      <w:r>
        <w:rPr>
          <w:rFonts w:ascii="Arial" w:hAnsi="Arial"/>
          <w:color w:val="1B3257"/>
          <w:u w:color="262626"/>
        </w:rPr>
        <w:t xml:space="preserve"> – details of which are to be confirmed, this may take place online</w:t>
      </w:r>
      <w:r w:rsidRPr="00BB78D1">
        <w:rPr>
          <w:rFonts w:ascii="Arial" w:hAnsi="Arial"/>
          <w:color w:val="1B3257"/>
          <w:u w:color="262626"/>
        </w:rPr>
        <w:t>. You can also</w:t>
      </w:r>
      <w:r>
        <w:rPr>
          <w:rFonts w:ascii="Arial" w:hAnsi="Arial"/>
          <w:color w:val="1B3257"/>
          <w:u w:color="262626"/>
        </w:rPr>
        <w:t xml:space="preserve"> invite</w:t>
      </w:r>
      <w:r w:rsidRPr="00BB78D1">
        <w:rPr>
          <w:rFonts w:ascii="Arial" w:hAnsi="Arial"/>
          <w:color w:val="1B3257"/>
          <w:u w:color="262626"/>
        </w:rPr>
        <w:t xml:space="preserve"> along </w:t>
      </w:r>
      <w:r w:rsidRPr="00BB78D1">
        <w:rPr>
          <w:rFonts w:ascii="Arial" w:hAnsi="Arial"/>
          <w:b/>
          <w:bCs/>
          <w:color w:val="1B3257"/>
          <w:u w:color="262626"/>
        </w:rPr>
        <w:t>one nominated guest</w:t>
      </w:r>
      <w:r w:rsidRPr="00BB78D1">
        <w:rPr>
          <w:rFonts w:ascii="Arial" w:hAnsi="Arial"/>
          <w:color w:val="1B3257"/>
          <w:u w:color="262626"/>
        </w:rPr>
        <w:t xml:space="preserve"> involved in the delivery of your entry.</w:t>
      </w:r>
    </w:p>
    <w:p w14:paraId="6ADC9EC1" w14:textId="77777777" w:rsidR="00E50AC8" w:rsidRPr="00BB78D1" w:rsidRDefault="00E50AC8" w:rsidP="00BB78D1">
      <w:pPr>
        <w:rPr>
          <w:rFonts w:ascii="Arial" w:eastAsia="Arial" w:hAnsi="Arial" w:cs="Arial"/>
          <w:color w:val="1B3257"/>
          <w:u w:color="262626"/>
        </w:rPr>
      </w:pPr>
    </w:p>
    <w:p w14:paraId="2CC33206" w14:textId="77777777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should have completed the online assessment (Blue Light Wellbeing Framework) via Oscar Kilo for your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</w:p>
    <w:p w14:paraId="5762D6D6" w14:textId="77777777" w:rsidR="00E50AC8" w:rsidRPr="00BB78D1" w:rsidRDefault="00E50AC8" w:rsidP="00BB78D1">
      <w:pPr>
        <w:rPr>
          <w:rFonts w:ascii="Arial" w:eastAsia="Arial" w:hAnsi="Arial" w:cs="Arial"/>
          <w:color w:val="1B3257"/>
          <w:u w:color="262626"/>
        </w:rPr>
      </w:pPr>
    </w:p>
    <w:p w14:paraId="05D8B499" w14:textId="77777777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The nomination is for the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, </w:t>
      </w:r>
      <w:r w:rsidRPr="00BB78D1">
        <w:rPr>
          <w:rFonts w:ascii="Arial" w:hAnsi="Arial"/>
          <w:b/>
          <w:bCs/>
          <w:color w:val="1B3257"/>
          <w:u w:color="262626"/>
        </w:rPr>
        <w:t>not for an individual</w:t>
      </w:r>
      <w:r w:rsidRPr="00BB78D1">
        <w:rPr>
          <w:rFonts w:ascii="Arial" w:hAnsi="Arial"/>
          <w:color w:val="1B3257"/>
          <w:u w:color="262626"/>
        </w:rPr>
        <w:t>. However, if there has been one individual that has made a significant contribution to the projects’ success, they may be referenced within the nomination.</w:t>
      </w:r>
    </w:p>
    <w:p w14:paraId="659517CA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5E860151" w14:textId="091337DD" w:rsidR="00E50AC8" w:rsidRPr="00BB78D1" w:rsidRDefault="00BB78D1" w:rsidP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Awards presented are in recognition of the concept and delivery but not of providers / venues / products.</w:t>
      </w:r>
    </w:p>
    <w:p w14:paraId="0E78CB32" w14:textId="3BDF430E" w:rsidR="00E50AC8" w:rsidRPr="00BB78D1" w:rsidRDefault="00BB78D1" w:rsidP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You can nominate a project, intervention, new working practice (i.e. meeting/working group/policy), or scheme.</w:t>
      </w:r>
    </w:p>
    <w:p w14:paraId="728B5D52" w14:textId="6A7558A8" w:rsidR="00E50AC8" w:rsidRPr="00BB78D1" w:rsidRDefault="00BB78D1" w:rsidP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Forms must be completed in their entirety and show clear evidence of success.</w:t>
      </w:r>
    </w:p>
    <w:p w14:paraId="67881769" w14:textId="32D70816" w:rsidR="00E50AC8" w:rsidRPr="00BB78D1" w:rsidRDefault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For the purposes of judging, all information will be supplied only to the judging panel, however, for editorial write-ups and to portray why you have won on the night, some information may be garnered from your entry.</w:t>
      </w:r>
    </w:p>
    <w:p w14:paraId="6AF70476" w14:textId="4C8BC968" w:rsidR="00E50AC8" w:rsidRPr="00BB78D1" w:rsidRDefault="00BB78D1" w:rsidP="00BB78D1">
      <w:pPr>
        <w:pStyle w:val="ListParagraph"/>
        <w:numPr>
          <w:ilvl w:val="0"/>
          <w:numId w:val="4"/>
        </w:numPr>
        <w:rPr>
          <w:rFonts w:ascii="Arial" w:hAnsi="Arial"/>
          <w:color w:val="1B3257"/>
        </w:rPr>
      </w:pPr>
      <w:r>
        <w:rPr>
          <w:rFonts w:ascii="Arial" w:hAnsi="Arial"/>
          <w:color w:val="1B3257"/>
          <w:u w:color="262626"/>
        </w:rPr>
        <w:t xml:space="preserve">There is a </w:t>
      </w:r>
      <w:r w:rsidRPr="00BB78D1">
        <w:rPr>
          <w:rFonts w:ascii="Arial" w:hAnsi="Arial"/>
          <w:color w:val="1B3257"/>
          <w:u w:color="262626"/>
        </w:rPr>
        <w:t>‘</w:t>
      </w:r>
      <w:r>
        <w:rPr>
          <w:rFonts w:ascii="Arial" w:hAnsi="Arial"/>
          <w:color w:val="1B3257"/>
          <w:u w:color="262626"/>
        </w:rPr>
        <w:t>n</w:t>
      </w:r>
      <w:r w:rsidRPr="00BB78D1">
        <w:rPr>
          <w:rFonts w:ascii="Arial" w:hAnsi="Arial"/>
          <w:color w:val="1B3257"/>
          <w:u w:color="262626"/>
        </w:rPr>
        <w:t>on</w:t>
      </w:r>
      <w:r>
        <w:rPr>
          <w:rFonts w:ascii="Arial" w:hAnsi="Arial"/>
          <w:color w:val="1B3257"/>
          <w:u w:color="262626"/>
        </w:rPr>
        <w:t>-p</w:t>
      </w:r>
      <w:r w:rsidRPr="00BB78D1">
        <w:rPr>
          <w:rFonts w:ascii="Arial" w:hAnsi="Arial"/>
          <w:color w:val="1B3257"/>
          <w:u w:color="262626"/>
        </w:rPr>
        <w:t xml:space="preserve">olice </w:t>
      </w:r>
      <w:r>
        <w:rPr>
          <w:rFonts w:ascii="Arial" w:hAnsi="Arial"/>
          <w:color w:val="1B3257"/>
          <w:u w:color="262626"/>
        </w:rPr>
        <w:t>a</w:t>
      </w:r>
      <w:r w:rsidRPr="00BB78D1">
        <w:rPr>
          <w:rFonts w:ascii="Arial" w:hAnsi="Arial"/>
          <w:color w:val="1B3257"/>
          <w:u w:color="262626"/>
        </w:rPr>
        <w:t xml:space="preserve">ward’, for another </w:t>
      </w:r>
      <w:proofErr w:type="spellStart"/>
      <w:r w:rsidRPr="00BB78D1">
        <w:rPr>
          <w:rFonts w:ascii="Arial" w:hAnsi="Arial"/>
          <w:color w:val="1B3257"/>
          <w:u w:color="262626"/>
        </w:rPr>
        <w:t>organisations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such as a UK Fire and Rescue Services who are working towards completing the Blue Light Wellbeing Framework</w:t>
      </w:r>
      <w:r>
        <w:rPr>
          <w:rFonts w:ascii="Arial" w:hAnsi="Arial"/>
          <w:color w:val="1B3257"/>
          <w:u w:color="262626"/>
        </w:rPr>
        <w:t xml:space="preserve"> who may wish to submit a nomination.</w:t>
      </w:r>
    </w:p>
    <w:p w14:paraId="5DED9190" w14:textId="77777777" w:rsidR="00BB78D1" w:rsidRPr="00BB78D1" w:rsidRDefault="00BB78D1" w:rsidP="00BB78D1">
      <w:pPr>
        <w:pStyle w:val="ListParagraph"/>
        <w:rPr>
          <w:rFonts w:ascii="Arial" w:hAnsi="Arial"/>
          <w:color w:val="1B3257"/>
        </w:rPr>
      </w:pPr>
    </w:p>
    <w:p w14:paraId="21732399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9295A74" w14:textId="77777777" w:rsidR="00E50AC8" w:rsidRPr="00BB78D1" w:rsidRDefault="00BB78D1">
      <w:pPr>
        <w:pStyle w:val="ListParagraph"/>
        <w:numPr>
          <w:ilvl w:val="0"/>
          <w:numId w:val="5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Categories</w:t>
      </w:r>
    </w:p>
    <w:p w14:paraId="228004FC" w14:textId="77777777" w:rsidR="00E50AC8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We have seven categories to reflect the seven areas of the Blue Light Wellbeing Framework. They are:</w:t>
      </w:r>
    </w:p>
    <w:p w14:paraId="12AEB262" w14:textId="34CF9F1B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Creating the Environmen</w:t>
      </w:r>
      <w:r>
        <w:rPr>
          <w:rFonts w:ascii="Arial" w:hAnsi="Arial"/>
          <w:color w:val="1B3257"/>
          <w:u w:color="262626"/>
        </w:rPr>
        <w:t>t</w:t>
      </w:r>
    </w:p>
    <w:p w14:paraId="7B47DBE5" w14:textId="1F04D11F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Leadership</w:t>
      </w:r>
    </w:p>
    <w:p w14:paraId="3CF6A540" w14:textId="48FA4ACD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Absence Management</w:t>
      </w:r>
    </w:p>
    <w:p w14:paraId="583C351A" w14:textId="132545DE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Mental Health</w:t>
      </w:r>
    </w:p>
    <w:p w14:paraId="353DBC0B" w14:textId="7A1279DC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Personal Resilience</w:t>
      </w:r>
    </w:p>
    <w:p w14:paraId="3787B0D8" w14:textId="037993CB" w:rsidR="00E50AC8" w:rsidRPr="00BB78D1" w:rsidRDefault="00BB78D1" w:rsidP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Protecting the Workforce</w:t>
      </w:r>
    </w:p>
    <w:p w14:paraId="6B981726" w14:textId="77777777" w:rsidR="00E50AC8" w:rsidRPr="00BB78D1" w:rsidRDefault="00BB78D1">
      <w:pPr>
        <w:pStyle w:val="ListParagraph"/>
        <w:numPr>
          <w:ilvl w:val="0"/>
          <w:numId w:val="7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Occupational Health</w:t>
      </w:r>
    </w:p>
    <w:p w14:paraId="44BCEDFD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F02CD04" w14:textId="6A2781B9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8A89224" w14:textId="45FB333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0E7968C" w14:textId="5F875817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64B6563" w14:textId="757D6A8B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76D3FB1" w14:textId="65316A66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3CBC9FC" w14:textId="2C1096D9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377D58E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97FDE94" w14:textId="77777777" w:rsidR="00E50AC8" w:rsidRPr="00BB78D1" w:rsidRDefault="00BB78D1">
      <w:pPr>
        <w:pStyle w:val="ListParagraph"/>
        <w:numPr>
          <w:ilvl w:val="0"/>
          <w:numId w:val="8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Category Criteria</w:t>
      </w:r>
    </w:p>
    <w:p w14:paraId="498AC296" w14:textId="77777777" w:rsidR="00E50AC8" w:rsidRPr="00BB78D1" w:rsidRDefault="00E50AC8">
      <w:pPr>
        <w:pStyle w:val="Body"/>
        <w:rPr>
          <w:rFonts w:ascii="Arial" w:eastAsia="Arial" w:hAnsi="Arial" w:cs="Arial"/>
          <w:b/>
          <w:bCs/>
          <w:color w:val="1B3257"/>
          <w:u w:color="262626"/>
        </w:rPr>
      </w:pPr>
    </w:p>
    <w:p w14:paraId="6B57C0C4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t>Creating the environment</w:t>
      </w:r>
    </w:p>
    <w:p w14:paraId="208B1BF6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13BC707B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F33D66E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Helping to create an environment that is conducive to wellbeing</w:t>
      </w:r>
    </w:p>
    <w:p w14:paraId="42B61932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Contributes to people experiencing meaning and purpose in their work</w:t>
      </w:r>
    </w:p>
    <w:p w14:paraId="5EF167D5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Improved access to services / wellbeing provision</w:t>
      </w:r>
    </w:p>
    <w:p w14:paraId="6E2939F5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Increased awareness by all employees about wellbeing and access to services</w:t>
      </w:r>
    </w:p>
    <w:p w14:paraId="3EA15534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Accessible and well used internal engagement forums</w:t>
      </w:r>
    </w:p>
    <w:p w14:paraId="4E4E86A1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Awareness of the links between wellbeing, Health and Safety and Code of Ethics</w:t>
      </w:r>
    </w:p>
    <w:p w14:paraId="358FA70E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Improvements to working environment including access to resources required by staff to do their job</w:t>
      </w:r>
    </w:p>
    <w:p w14:paraId="63089262" w14:textId="77777777" w:rsidR="00E50AC8" w:rsidRPr="00BB78D1" w:rsidRDefault="00BB78D1">
      <w:pPr>
        <w:pStyle w:val="ListParagraph"/>
        <w:numPr>
          <w:ilvl w:val="0"/>
          <w:numId w:val="10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Preventing ill health and clear direction and support for those attending work who are unwell </w:t>
      </w:r>
    </w:p>
    <w:p w14:paraId="5AE4B2AF" w14:textId="77487070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10E804F" w14:textId="145D27D9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4CE7ECE" w14:textId="10E38FE9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514A6C7" w14:textId="044EDE9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0BCEB9D" w14:textId="4AA7D3C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37563A6" w14:textId="697C9AAA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C4650E9" w14:textId="609ADCB9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0129C92" w14:textId="550D4E13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A792237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2A7D1CC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t>Leadership</w:t>
      </w:r>
    </w:p>
    <w:p w14:paraId="4B283A01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6146095C" w14:textId="77777777" w:rsidR="00E50AC8" w:rsidRPr="00BB78D1" w:rsidRDefault="00E50AC8">
      <w:pPr>
        <w:pStyle w:val="Body"/>
        <w:rPr>
          <w:rFonts w:ascii="Arial" w:eastAsia="Arial" w:hAnsi="Arial" w:cs="Arial"/>
          <w:b/>
          <w:bCs/>
          <w:color w:val="1B3257"/>
          <w:u w:color="262626"/>
        </w:rPr>
      </w:pPr>
    </w:p>
    <w:p w14:paraId="56E1F5D2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consultation and communications around workplace wellbeing issues</w:t>
      </w:r>
    </w:p>
    <w:p w14:paraId="35A06C9B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Consistent and positive approach to wellbeing from Senior Management</w:t>
      </w:r>
    </w:p>
    <w:p w14:paraId="66733EB0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Flexible working practices</w:t>
      </w:r>
    </w:p>
    <w:p w14:paraId="6E38D19B" w14:textId="142286BA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Dealing with whistle blowing, disciplinary and grievance procedures</w:t>
      </w:r>
    </w:p>
    <w:p w14:paraId="14CE2830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Reward and recognition</w:t>
      </w:r>
    </w:p>
    <w:p w14:paraId="43E87D19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Line managers understand wellbeing and have relevant leadership and management training </w:t>
      </w:r>
    </w:p>
    <w:p w14:paraId="491402BF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Encouraging joint decision making between line manager and individuals</w:t>
      </w:r>
    </w:p>
    <w:p w14:paraId="1FBA2AFC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Focus on learning and development and personal development</w:t>
      </w:r>
    </w:p>
    <w:p w14:paraId="440FD7F8" w14:textId="77777777" w:rsidR="00E50AC8" w:rsidRPr="00BB78D1" w:rsidRDefault="00BB78D1">
      <w:pPr>
        <w:pStyle w:val="ListParagraph"/>
        <w:numPr>
          <w:ilvl w:val="0"/>
          <w:numId w:val="12"/>
        </w:numPr>
        <w:spacing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managed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development and change</w:t>
      </w:r>
    </w:p>
    <w:p w14:paraId="2EDD1771" w14:textId="0B975308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7591BFE" w14:textId="4093C10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F62117F" w14:textId="7046260D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E2EB6BC" w14:textId="7125276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9669EB2" w14:textId="30E2F6B2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E1ED0F3" w14:textId="4F42BC4A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E3E3DB2" w14:textId="44D1B533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C212FB5" w14:textId="603005D9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D5D4088" w14:textId="6D816E0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9680853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2D9156D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fr-FR"/>
        </w:rPr>
        <w:lastRenderedPageBreak/>
        <w:t>Absence Management</w:t>
      </w:r>
    </w:p>
    <w:p w14:paraId="0D17EC77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69D73A10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Well used and communicated absence management policy</w:t>
      </w:r>
    </w:p>
    <w:p w14:paraId="00DB77CB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contact with employees out of work and return to work procedures</w:t>
      </w:r>
    </w:p>
    <w:p w14:paraId="7E8F6382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Risk assessments in high vulnerability roles </w:t>
      </w:r>
    </w:p>
    <w:p w14:paraId="5DE97E58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Reasonable adjustments</w:t>
      </w:r>
    </w:p>
    <w:p w14:paraId="61A0CE9B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Interventions created and designed in response to changes in absence trends</w:t>
      </w:r>
    </w:p>
    <w:p w14:paraId="71230BF0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Return to work policies designed to support rehabilitation, early return to work and reasonable adjustments.</w:t>
      </w:r>
    </w:p>
    <w:p w14:paraId="688DEB26" w14:textId="77777777" w:rsidR="00E50AC8" w:rsidRPr="00BB78D1" w:rsidRDefault="00BB78D1">
      <w:pPr>
        <w:pStyle w:val="ListParagraph"/>
        <w:numPr>
          <w:ilvl w:val="0"/>
          <w:numId w:val="14"/>
        </w:numPr>
        <w:spacing w:after="0" w:line="480" w:lineRule="auto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Proactive support to those off long term sick</w:t>
      </w:r>
    </w:p>
    <w:p w14:paraId="2782FF7A" w14:textId="471407BB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67977E2" w14:textId="5CF908F8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8D9F333" w14:textId="3C53D4F4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71D5DEB" w14:textId="3CA8F2F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87CB0B0" w14:textId="22931F1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11B7B76" w14:textId="165C1EC2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714B77E" w14:textId="20D038E6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F23A2B9" w14:textId="452684E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1C44DFA" w14:textId="12F07066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D14C735" w14:textId="112B010B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9D3ACBB" w14:textId="08966272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C4B6118" w14:textId="42D8999B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A899884" w14:textId="5BACC52F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E1595FC" w14:textId="6D27AC53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60AECCE" w14:textId="0C2B7008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975AA89" w14:textId="321C3C7C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0493E7D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78FA9A9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Mental Health</w:t>
      </w:r>
    </w:p>
    <w:p w14:paraId="0D6C9708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19EAD132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Promotion of mental wellbeing and investment in workforce mental wellbeing</w:t>
      </w:r>
    </w:p>
    <w:p w14:paraId="606822FC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161303C0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engagement with and promotion of campaigns aimed at reducing the stigma around mental ill health</w:t>
      </w:r>
    </w:p>
    <w:p w14:paraId="7283AD4C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409C2090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accessible information provided around mental health and wellbeing, including work related stress</w:t>
      </w:r>
    </w:p>
    <w:p w14:paraId="409A1A24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72E9AB25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Regular mental health checks offered with a focus around vulnerable / high risk roles</w:t>
      </w:r>
    </w:p>
    <w:p w14:paraId="0957A301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02151AE2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Systems and process in place to allow access to confidential services</w:t>
      </w:r>
    </w:p>
    <w:p w14:paraId="7EB50872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0211EE0A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Education and development opportunities made available to enhance skills / knowledge around workplace mental health issues</w:t>
      </w:r>
    </w:p>
    <w:p w14:paraId="04E599FA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7750C2F8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Good levels of communication and staff engagement campaigns around mental health</w:t>
      </w:r>
    </w:p>
    <w:p w14:paraId="705488EF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76163C9F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change </w:t>
      </w:r>
      <w:proofErr w:type="spellStart"/>
      <w:r w:rsidRPr="00BB78D1">
        <w:rPr>
          <w:rFonts w:ascii="Arial" w:hAnsi="Arial"/>
          <w:color w:val="1B3257"/>
          <w:u w:color="262626"/>
        </w:rPr>
        <w:t>programmes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accompanied by support and interventions</w:t>
      </w:r>
    </w:p>
    <w:p w14:paraId="4E208D15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51D13911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Acknowledgement of requirement to provide specialist support for more complex mental health issues such as PTSD</w:t>
      </w:r>
    </w:p>
    <w:p w14:paraId="6287243B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7585CA37" w14:textId="77777777" w:rsidR="00E50AC8" w:rsidRPr="00BB78D1" w:rsidRDefault="00BB78D1">
      <w:pPr>
        <w:pStyle w:val="ListParagraph"/>
        <w:numPr>
          <w:ilvl w:val="0"/>
          <w:numId w:val="16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Social support groups, volunteering and out-of-work activities are actively encouraged</w:t>
      </w:r>
    </w:p>
    <w:p w14:paraId="28AB9791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9E26B9E" w14:textId="77777777" w:rsidR="00E50AC8" w:rsidRPr="00BB78D1" w:rsidRDefault="00E50AC8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</w:p>
    <w:p w14:paraId="5E477359" w14:textId="77777777" w:rsidR="00E50AC8" w:rsidRPr="00BB78D1" w:rsidRDefault="00E50AC8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</w:p>
    <w:p w14:paraId="76210D32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Protecting the workforce</w:t>
      </w:r>
    </w:p>
    <w:p w14:paraId="6D043EA2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56E3B646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Significant incidents are appropriately debriefed and staff are aware of all the support available to them</w:t>
      </w:r>
    </w:p>
    <w:p w14:paraId="78D48B25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0CEB03FB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and well promoted statement of intent around physical activity and healthy eating</w:t>
      </w:r>
    </w:p>
    <w:p w14:paraId="2F045946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54E1A8E5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Procedures in place to identify and assist with financial problems or crisis. </w:t>
      </w:r>
    </w:p>
    <w:p w14:paraId="70194A8E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154E22F9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 promotion of the importance of physical health indicators, for example, blood pressure, cholesterol and blood sugar</w:t>
      </w:r>
    </w:p>
    <w:p w14:paraId="71A067D2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31BBDA6D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Dietary advice, particularly for shift workers is available and easily accessible</w:t>
      </w:r>
    </w:p>
    <w:p w14:paraId="0EB75A3F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2B0DE3C7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Clear alcohol / substance misuse policies including well communicated access to treatment, pathways and support with training for awareness and signposting training</w:t>
      </w:r>
    </w:p>
    <w:p w14:paraId="4EE8084F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36938F53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New employees are made aware of support available and policies at induction</w:t>
      </w:r>
    </w:p>
    <w:p w14:paraId="55EE27B6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2C7652AD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Well established peer support panels which are regularly used and are used to challenge </w:t>
      </w:r>
      <w:proofErr w:type="spellStart"/>
      <w:r w:rsidRPr="00BB78D1">
        <w:rPr>
          <w:rFonts w:ascii="Arial" w:hAnsi="Arial"/>
          <w:color w:val="1B3257"/>
          <w:u w:color="262626"/>
        </w:rPr>
        <w:t>organisational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 workforce wellbeing provision</w:t>
      </w:r>
    </w:p>
    <w:p w14:paraId="524E7D5B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282BE2FA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Protocols to identify the risks associated with an ageing workforce with strategies in place to support individuals</w:t>
      </w:r>
    </w:p>
    <w:p w14:paraId="36AF5F45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00E6BABA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Effective procedures in place to report discrimination and bullying</w:t>
      </w:r>
    </w:p>
    <w:p w14:paraId="2E963130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52E9BA15" w14:textId="77777777" w:rsidR="00E50AC8" w:rsidRPr="00BB78D1" w:rsidRDefault="00BB78D1">
      <w:pPr>
        <w:pStyle w:val="ListParagraph"/>
        <w:numPr>
          <w:ilvl w:val="0"/>
          <w:numId w:val="18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Assaults of staff accurately recorded via executive reporting mechanisms</w:t>
      </w:r>
    </w:p>
    <w:p w14:paraId="6B948D15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CF551DF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Personal Resilience</w:t>
      </w:r>
    </w:p>
    <w:p w14:paraId="2A529993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3DDA73C5" w14:textId="77777777" w:rsidR="00E50AC8" w:rsidRPr="00BB78D1" w:rsidRDefault="00E50AC8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</w:p>
    <w:p w14:paraId="00981E78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Resilience training available to all employees to help identify potential issues</w:t>
      </w:r>
    </w:p>
    <w:p w14:paraId="66D58329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2815A41F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Personal resilience and self-efficacy is actively promoted and encouraged</w:t>
      </w:r>
    </w:p>
    <w:p w14:paraId="6146119A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581E20B4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Actively seeking ways to reduce sleep deprivation, for example, overtime policies, turnaround times, working day limits and promoting the importance of sleep</w:t>
      </w:r>
    </w:p>
    <w:p w14:paraId="16D9787A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2FEFA70E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Onsite catering facilities offer healthier options</w:t>
      </w:r>
    </w:p>
    <w:p w14:paraId="17E8898C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4EF181F2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Rolling programme of planned events to promote healthy eating including internal or external support to assist in weight loss and leading a healthier lifestyle</w:t>
      </w:r>
    </w:p>
    <w:p w14:paraId="221302B3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4E5B4213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Information available on the benefits of physical activity including active encouragement of physical exercise supported by the physical environment </w:t>
      </w:r>
    </w:p>
    <w:p w14:paraId="1E02C3D2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6B1F1EDC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Importance of minimum legally required breaks taken by all staff is communicated at all levels and employees, particularly in sedentary, office based roles, are encouraged to partake in physical activity</w:t>
      </w:r>
    </w:p>
    <w:p w14:paraId="23EFDA61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439989D7" w14:textId="77777777" w:rsidR="00E50AC8" w:rsidRPr="00BB78D1" w:rsidRDefault="00BB78D1">
      <w:pPr>
        <w:pStyle w:val="ListParagraph"/>
        <w:numPr>
          <w:ilvl w:val="0"/>
          <w:numId w:val="20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Alternative methods of travel are encouraged and well promoted.</w:t>
      </w:r>
    </w:p>
    <w:p w14:paraId="7449C555" w14:textId="34E7CDCF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BCF5D82" w14:textId="1D431FD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32A40BF" w14:textId="7702A298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B249ECD" w14:textId="06ECE270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8B78C7F" w14:textId="4495CB9D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1B119F4" w14:textId="423D9044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ED44663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D2451FA" w14:textId="77777777" w:rsidR="00E50AC8" w:rsidRPr="00BB78D1" w:rsidRDefault="00BB78D1">
      <w:pPr>
        <w:pStyle w:val="Body"/>
        <w:rPr>
          <w:rFonts w:ascii="Arial" w:eastAsia="Arial" w:hAnsi="Arial" w:cs="Arial"/>
          <w:b/>
          <w:bCs/>
          <w:color w:val="1B3257"/>
          <w:sz w:val="24"/>
          <w:szCs w:val="24"/>
          <w:u w:color="262626"/>
        </w:rPr>
      </w:pPr>
      <w:r w:rsidRPr="00BB78D1">
        <w:rPr>
          <w:rFonts w:ascii="Arial" w:hAnsi="Arial"/>
          <w:b/>
          <w:bCs/>
          <w:color w:val="1B3257"/>
          <w:sz w:val="24"/>
          <w:szCs w:val="24"/>
          <w:u w:color="262626"/>
          <w:lang w:val="en-US"/>
        </w:rPr>
        <w:lastRenderedPageBreak/>
        <w:t>Occupational Health</w:t>
      </w:r>
    </w:p>
    <w:p w14:paraId="45F6BE8C" w14:textId="77777777" w:rsidR="00E50AC8" w:rsidRPr="00BB78D1" w:rsidRDefault="00BB78D1">
      <w:pPr>
        <w:pStyle w:val="Body"/>
        <w:rPr>
          <w:rFonts w:ascii="Arial" w:eastAsia="Arial" w:hAnsi="Arial" w:cs="Arial"/>
          <w:i/>
          <w:iCs/>
          <w:color w:val="1B3257"/>
          <w:u w:color="262626"/>
        </w:rPr>
      </w:pPr>
      <w:r w:rsidRPr="00BB78D1">
        <w:rPr>
          <w:rFonts w:ascii="Arial" w:hAnsi="Arial"/>
          <w:i/>
          <w:iCs/>
          <w:color w:val="1B3257"/>
          <w:u w:color="262626"/>
          <w:lang w:val="en-US"/>
        </w:rPr>
        <w:t>Entries under this section should address and be able to evidence areas of improvement in one or more of the following areas:</w:t>
      </w:r>
    </w:p>
    <w:p w14:paraId="25F8DE72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577A903B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The upkeep of adequate clinical records and the protection of patients’ confidentiality whilst acting with integrity and financial propriety.</w:t>
      </w:r>
    </w:p>
    <w:p w14:paraId="13FC18F4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4956033C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Training and clinical governance of Occupational Health staff.</w:t>
      </w:r>
    </w:p>
    <w:p w14:paraId="03C6F04A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01FCF20C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Working in facilities that are safe, accessible, maintained and appropriate with the correct standards of hygiene for the services provided.</w:t>
      </w:r>
    </w:p>
    <w:p w14:paraId="5FDE5B73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7067213F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>All medical equipment is safe and appropriate for the services provided and medicines management and clinical supervision is in place where required.</w:t>
      </w:r>
    </w:p>
    <w:p w14:paraId="3F734FE5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45CCCE25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Being aware of, and driven by, the needs of the </w:t>
      </w:r>
      <w:proofErr w:type="spellStart"/>
      <w:r w:rsidRPr="00BB78D1">
        <w:rPr>
          <w:rFonts w:ascii="Arial" w:hAnsi="Arial"/>
          <w:color w:val="1B3257"/>
          <w:u w:color="262626"/>
        </w:rPr>
        <w:t>organisation</w:t>
      </w:r>
      <w:proofErr w:type="spellEnd"/>
      <w:r w:rsidRPr="00BB78D1">
        <w:rPr>
          <w:rFonts w:ascii="Arial" w:hAnsi="Arial"/>
          <w:color w:val="1B3257"/>
          <w:u w:color="262626"/>
        </w:rPr>
        <w:t xml:space="preserve">, as well as the hazards, risks, processes and control measures, particularly in relation to emerging police agendas. </w:t>
      </w:r>
    </w:p>
    <w:p w14:paraId="5D0D45FE" w14:textId="77777777" w:rsidR="00E50AC8" w:rsidRPr="00BB78D1" w:rsidRDefault="00E50AC8">
      <w:pPr>
        <w:pStyle w:val="PlainText"/>
        <w:spacing w:line="260" w:lineRule="exact"/>
        <w:rPr>
          <w:rFonts w:ascii="Arial" w:eastAsia="Arial" w:hAnsi="Arial" w:cs="Arial"/>
          <w:color w:val="1B3257"/>
          <w:u w:color="262626"/>
        </w:rPr>
      </w:pPr>
    </w:p>
    <w:p w14:paraId="61431855" w14:textId="77777777" w:rsidR="00E50AC8" w:rsidRPr="00BB78D1" w:rsidRDefault="00BB78D1">
      <w:pPr>
        <w:pStyle w:val="PlainText"/>
        <w:numPr>
          <w:ilvl w:val="0"/>
          <w:numId w:val="22"/>
        </w:numPr>
        <w:spacing w:line="260" w:lineRule="exact"/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Ensure that all service users are treated equally, fairly and with respect, in line with professional standards and policing codes. </w:t>
      </w:r>
    </w:p>
    <w:p w14:paraId="660966C5" w14:textId="77777777" w:rsidR="00E50AC8" w:rsidRPr="00BB78D1" w:rsidRDefault="00E50AC8">
      <w:pPr>
        <w:pStyle w:val="PlainText"/>
        <w:rPr>
          <w:color w:val="1B3257"/>
          <w:u w:color="262626"/>
        </w:rPr>
      </w:pPr>
    </w:p>
    <w:p w14:paraId="11B87101" w14:textId="77777777" w:rsidR="00E50AC8" w:rsidRPr="00BB78D1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BD3FA3E" w14:textId="14EEE1EF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B5E3ADC" w14:textId="5904D222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8FE47F5" w14:textId="3E1B412B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69FED2E" w14:textId="305AE065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295F3EA3" w14:textId="45F2B2A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ABD9149" w14:textId="257B495B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05B9E581" w14:textId="47A6373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EA213E6" w14:textId="3AE2383F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3948CA0" w14:textId="44E39165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94D9D2A" w14:textId="61934D6A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B0DD0B1" w14:textId="0C0C19CE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47469EEB" w14:textId="7B4B8837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BB5A6EF" w14:textId="22D1E988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9F8BD8D" w14:textId="068CBE71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60729DF6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E341648" w14:textId="77777777" w:rsidR="00E50AC8" w:rsidRPr="00BB78D1" w:rsidRDefault="00BB78D1">
      <w:pPr>
        <w:pStyle w:val="ListParagraph"/>
        <w:numPr>
          <w:ilvl w:val="0"/>
          <w:numId w:val="23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lastRenderedPageBreak/>
        <w:t>Judging Criteria</w:t>
      </w:r>
    </w:p>
    <w:p w14:paraId="6F47A870" w14:textId="77777777" w:rsidR="00E50AC8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Criteria for each category are based on the question sets that forces benchmark themselves against using the Blue Light Wellbeing Framework. </w:t>
      </w:r>
    </w:p>
    <w:p w14:paraId="2B15BA30" w14:textId="77777777" w:rsidR="00E50AC8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Each project nominated should be able to show evidence the following:</w:t>
      </w:r>
    </w:p>
    <w:p w14:paraId="7B9493AF" w14:textId="77777777" w:rsidR="00E50AC8" w:rsidRPr="00BB78D1" w:rsidRDefault="00BB78D1">
      <w:pPr>
        <w:pStyle w:val="Body"/>
        <w:spacing w:before="312" w:after="100" w:line="312" w:lineRule="auto"/>
        <w:rPr>
          <w:rFonts w:ascii="Arial" w:eastAsia="Arial" w:hAnsi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Well Researched</w:t>
      </w:r>
    </w:p>
    <w:p w14:paraId="0DF28F06" w14:textId="77777777" w:rsidR="00E50AC8" w:rsidRPr="00BB78D1" w:rsidRDefault="00BB78D1">
      <w:pPr>
        <w:pStyle w:val="Body"/>
        <w:spacing w:before="100" w:after="100" w:line="312" w:lineRule="auto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It is important for any entry to be evidence-based, both in terms of the audience to be targeted and the messages to be conveyed. </w:t>
      </w:r>
    </w:p>
    <w:p w14:paraId="2D6582C4" w14:textId="77777777" w:rsidR="00E50AC8" w:rsidRPr="00BB78D1" w:rsidRDefault="00BB78D1">
      <w:pPr>
        <w:pStyle w:val="Body"/>
        <w:spacing w:before="100" w:after="100" w:line="312" w:lineRule="auto"/>
        <w:rPr>
          <w:rFonts w:ascii="Arial" w:eastAsia="Arial" w:hAnsi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GAIN model</w:t>
      </w:r>
    </w:p>
    <w:p w14:paraId="2A566BC7" w14:textId="77777777" w:rsidR="00E50AC8" w:rsidRPr="00BB78D1" w:rsidRDefault="00BB78D1">
      <w:pPr>
        <w:pStyle w:val="Body"/>
        <w:spacing w:before="100" w:after="100" w:line="312" w:lineRule="auto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>Each entry should reference the GAIN model in its planning and application</w:t>
      </w:r>
    </w:p>
    <w:p w14:paraId="50716B36" w14:textId="77777777" w:rsidR="00E50AC8" w:rsidRPr="00BB78D1" w:rsidRDefault="00BB78D1">
      <w:pPr>
        <w:pStyle w:val="Body"/>
        <w:spacing w:before="312" w:after="100" w:line="312" w:lineRule="auto"/>
        <w:rPr>
          <w:rFonts w:ascii="Arial" w:eastAsia="Arial" w:hAnsi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>Achievement and Evaluation</w:t>
      </w:r>
    </w:p>
    <w:p w14:paraId="2A2AE01E" w14:textId="77777777" w:rsidR="00E50AC8" w:rsidRPr="00BB78D1" w:rsidRDefault="00BB78D1">
      <w:pPr>
        <w:pStyle w:val="Body"/>
        <w:spacing w:before="100" w:after="100" w:line="312" w:lineRule="auto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project cannot be considered for an award unless its impact has been evaluated and there is clear evidence of it having had a beneficial effect. The impact may not be linked to a reduction in a quantitative sense but may focus on changes in knowledge, attitudes and </w:t>
      </w:r>
      <w:proofErr w:type="spellStart"/>
      <w:r w:rsidRPr="00BB78D1">
        <w:rPr>
          <w:rFonts w:ascii="Arial" w:hAnsi="Arial"/>
          <w:color w:val="1B3257"/>
          <w:u w:color="262626"/>
          <w:lang w:val="en-US"/>
        </w:rPr>
        <w:t>behaviour</w:t>
      </w:r>
      <w:proofErr w:type="spellEnd"/>
      <w:r w:rsidRPr="00BB78D1">
        <w:rPr>
          <w:rFonts w:ascii="Arial" w:hAnsi="Arial"/>
          <w:color w:val="1B3257"/>
          <w:u w:color="262626"/>
          <w:lang w:val="en-US"/>
        </w:rPr>
        <w:t>. The evaluation should be clearly linked to the aims and objectives of the project.</w:t>
      </w:r>
    </w:p>
    <w:p w14:paraId="49E4AF25" w14:textId="77777777" w:rsidR="00E50AC8" w:rsidRPr="00BB78D1" w:rsidRDefault="00BB78D1">
      <w:pPr>
        <w:pStyle w:val="Body"/>
        <w:spacing w:before="312" w:after="100" w:line="312" w:lineRule="auto"/>
        <w:rPr>
          <w:rFonts w:ascii="Arial" w:eastAsia="Arial" w:hAnsi="Arial" w:cs="Arial"/>
          <w:b/>
          <w:bCs/>
          <w:color w:val="1B3257"/>
          <w:u w:color="262626"/>
        </w:rPr>
      </w:pPr>
      <w:r w:rsidRPr="00BB78D1">
        <w:rPr>
          <w:rFonts w:ascii="Arial" w:hAnsi="Arial"/>
          <w:b/>
          <w:bCs/>
          <w:color w:val="1B3257"/>
          <w:u w:color="262626"/>
          <w:lang w:val="en-US"/>
        </w:rPr>
        <w:t xml:space="preserve">Scalability and Affordability </w:t>
      </w:r>
    </w:p>
    <w:p w14:paraId="65200CE2" w14:textId="17F1DE3F" w:rsidR="00E50AC8" w:rsidRPr="00BB78D1" w:rsidRDefault="00BB78D1">
      <w:pPr>
        <w:pStyle w:val="Body"/>
        <w:spacing w:before="100" w:after="100" w:line="312" w:lineRule="auto"/>
        <w:rPr>
          <w:rFonts w:ascii="Arial" w:eastAsia="Arial" w:hAnsi="Arial" w:cs="Arial"/>
          <w:color w:val="1B3257"/>
          <w:u w:color="262626"/>
        </w:rPr>
      </w:pPr>
      <w:r w:rsidRPr="00BB78D1">
        <w:rPr>
          <w:rFonts w:ascii="Arial" w:hAnsi="Arial"/>
          <w:color w:val="1B3257"/>
          <w:u w:color="262626"/>
          <w:lang w:val="en-US"/>
        </w:rPr>
        <w:t xml:space="preserve">The judges will look for evidence in relation to how viable it is to scale up the project if it is a small-scale innovation. Also, they will be looking to see that consideration has been given to how affordable it is to scale up and how quality can be maintained. </w:t>
      </w:r>
    </w:p>
    <w:p w14:paraId="199B3044" w14:textId="2822C6F4" w:rsidR="00E50AC8" w:rsidRDefault="00E50AC8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9373749" w14:textId="3650D1A6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58796E2" w14:textId="4DB4442D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17A857A7" w14:textId="30376B53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591D17D5" w14:textId="4C28278F" w:rsid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3B828958" w14:textId="77777777" w:rsidR="00BB78D1" w:rsidRPr="00BB78D1" w:rsidRDefault="00BB78D1">
      <w:pPr>
        <w:pStyle w:val="Body"/>
        <w:rPr>
          <w:rFonts w:ascii="Arial" w:eastAsia="Arial" w:hAnsi="Arial" w:cs="Arial"/>
          <w:color w:val="1B3257"/>
          <w:u w:color="262626"/>
        </w:rPr>
      </w:pPr>
    </w:p>
    <w:p w14:paraId="71976556" w14:textId="77777777" w:rsidR="00E50AC8" w:rsidRPr="00BB78D1" w:rsidRDefault="00BB78D1">
      <w:pPr>
        <w:pStyle w:val="ListParagraph"/>
        <w:numPr>
          <w:ilvl w:val="0"/>
          <w:numId w:val="2"/>
        </w:numPr>
        <w:rPr>
          <w:rFonts w:ascii="Arial" w:hAnsi="Arial"/>
          <w:b/>
          <w:bCs/>
          <w:color w:val="1B3257"/>
          <w:sz w:val="28"/>
          <w:szCs w:val="28"/>
        </w:rPr>
      </w:pPr>
      <w:r w:rsidRPr="00BB78D1">
        <w:rPr>
          <w:rFonts w:ascii="Arial" w:hAnsi="Arial"/>
          <w:b/>
          <w:bCs/>
          <w:color w:val="1B3257"/>
          <w:sz w:val="28"/>
          <w:szCs w:val="28"/>
          <w:u w:color="262626"/>
        </w:rPr>
        <w:t>Timescales</w:t>
      </w:r>
    </w:p>
    <w:p w14:paraId="58177CC4" w14:textId="77777777" w:rsidR="00E50AC8" w:rsidRPr="00BB78D1" w:rsidRDefault="00E50AC8">
      <w:pPr>
        <w:pStyle w:val="ListParagraph"/>
        <w:rPr>
          <w:rFonts w:ascii="Arial" w:eastAsia="Arial" w:hAnsi="Arial" w:cs="Arial"/>
          <w:b/>
          <w:bCs/>
          <w:color w:val="1B3257"/>
          <w:sz w:val="28"/>
          <w:szCs w:val="28"/>
          <w:u w:color="262626"/>
        </w:rPr>
      </w:pPr>
    </w:p>
    <w:p w14:paraId="45166ECE" w14:textId="2113F697" w:rsidR="00E50AC8" w:rsidRPr="00BB78D1" w:rsidRDefault="00BB78D1" w:rsidP="00BB78D1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Applications open on the </w:t>
      </w:r>
      <w:r>
        <w:rPr>
          <w:rFonts w:ascii="Arial" w:hAnsi="Arial"/>
          <w:color w:val="1B3257"/>
          <w:u w:color="262626"/>
        </w:rPr>
        <w:t>18 January 2022</w:t>
      </w:r>
    </w:p>
    <w:p w14:paraId="08A59BA6" w14:textId="53E6FB5E" w:rsidR="00E50AC8" w:rsidRPr="00BB78D1" w:rsidRDefault="00BB78D1">
      <w:pPr>
        <w:pStyle w:val="ListParagraph"/>
        <w:numPr>
          <w:ilvl w:val="0"/>
          <w:numId w:val="25"/>
        </w:numPr>
        <w:rPr>
          <w:rFonts w:ascii="Arial" w:hAnsi="Arial"/>
          <w:color w:val="1B3257"/>
        </w:rPr>
      </w:pPr>
      <w:r w:rsidRPr="00BB78D1">
        <w:rPr>
          <w:rFonts w:ascii="Arial" w:hAnsi="Arial"/>
          <w:color w:val="1B3257"/>
          <w:u w:color="262626"/>
        </w:rPr>
        <w:t xml:space="preserve">Deadline for submissions will be </w:t>
      </w:r>
      <w:r w:rsidR="000100C8">
        <w:rPr>
          <w:rFonts w:ascii="Arial" w:hAnsi="Arial"/>
          <w:color w:val="1B3257"/>
          <w:u w:color="262626"/>
        </w:rPr>
        <w:t xml:space="preserve">11 </w:t>
      </w:r>
      <w:r w:rsidRPr="00BB78D1">
        <w:rPr>
          <w:rFonts w:ascii="Arial" w:hAnsi="Arial"/>
          <w:color w:val="1B3257"/>
          <w:u w:color="262626"/>
        </w:rPr>
        <w:t>March 2022</w:t>
      </w:r>
    </w:p>
    <w:p w14:paraId="5450D55E" w14:textId="77777777" w:rsidR="00E50AC8" w:rsidRPr="00BB78D1" w:rsidRDefault="00E50AC8">
      <w:pPr>
        <w:pStyle w:val="ListParagraph"/>
        <w:rPr>
          <w:rFonts w:ascii="Arial" w:eastAsia="Arial" w:hAnsi="Arial" w:cs="Arial"/>
          <w:color w:val="1B3257"/>
          <w:u w:color="262626"/>
        </w:rPr>
      </w:pPr>
    </w:p>
    <w:p w14:paraId="40C0397A" w14:textId="77777777" w:rsidR="00E50AC8" w:rsidRPr="00BB78D1" w:rsidRDefault="00E50AC8">
      <w:pPr>
        <w:pStyle w:val="Body"/>
        <w:rPr>
          <w:color w:val="1B3257"/>
        </w:rPr>
      </w:pPr>
    </w:p>
    <w:sectPr w:rsidR="00E50AC8" w:rsidRPr="00BB78D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75678" w14:textId="77777777" w:rsidR="002F5159" w:rsidRDefault="00BB78D1">
      <w:r>
        <w:separator/>
      </w:r>
    </w:p>
  </w:endnote>
  <w:endnote w:type="continuationSeparator" w:id="0">
    <w:p w14:paraId="646C4B5D" w14:textId="77777777" w:rsidR="002F5159" w:rsidRDefault="00BB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8B7C1" w14:textId="77777777" w:rsidR="00E50AC8" w:rsidRDefault="00E50A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89694" w14:textId="77777777" w:rsidR="002F5159" w:rsidRDefault="00BB78D1">
      <w:r>
        <w:separator/>
      </w:r>
    </w:p>
  </w:footnote>
  <w:footnote w:type="continuationSeparator" w:id="0">
    <w:p w14:paraId="2A2BD73C" w14:textId="77777777" w:rsidR="002F5159" w:rsidRDefault="00BB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28EF" w14:textId="77777777" w:rsidR="00E50AC8" w:rsidRDefault="00E50A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C35"/>
    <w:multiLevelType w:val="hybridMultilevel"/>
    <w:tmpl w:val="2C7C0426"/>
    <w:styleLink w:val="ImportedStyle1"/>
    <w:lvl w:ilvl="0" w:tplc="9C26FB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4B2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8E154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6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E58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A6A9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DC1A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0825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EDFC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35C04"/>
    <w:multiLevelType w:val="hybridMultilevel"/>
    <w:tmpl w:val="2C7C0426"/>
    <w:numStyleLink w:val="ImportedStyle1"/>
  </w:abstractNum>
  <w:abstractNum w:abstractNumId="2" w15:restartNumberingAfterBreak="0">
    <w:nsid w:val="13EB5FD2"/>
    <w:multiLevelType w:val="hybridMultilevel"/>
    <w:tmpl w:val="9C04EABC"/>
    <w:styleLink w:val="ImportedStyle11"/>
    <w:lvl w:ilvl="0" w:tplc="AD7853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3682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C3A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DC3F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0FA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32B5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C9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E9A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C01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5A657C"/>
    <w:multiLevelType w:val="hybridMultilevel"/>
    <w:tmpl w:val="5DB0B748"/>
    <w:numStyleLink w:val="ImportedStyle5"/>
  </w:abstractNum>
  <w:abstractNum w:abstractNumId="4" w15:restartNumberingAfterBreak="0">
    <w:nsid w:val="30DC2D73"/>
    <w:multiLevelType w:val="hybridMultilevel"/>
    <w:tmpl w:val="986E3F6A"/>
    <w:styleLink w:val="ImportedStyle9"/>
    <w:lvl w:ilvl="0" w:tplc="35E62C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210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3CF6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0C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049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0CA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8EB8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24D6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444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BD66AA"/>
    <w:multiLevelType w:val="hybridMultilevel"/>
    <w:tmpl w:val="9EA45F58"/>
    <w:styleLink w:val="ImportedStyle7"/>
    <w:lvl w:ilvl="0" w:tplc="1EB0D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ED9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A98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247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C70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1271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E0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D2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C687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9E07E2"/>
    <w:multiLevelType w:val="hybridMultilevel"/>
    <w:tmpl w:val="922C502C"/>
    <w:numStyleLink w:val="ImportedStyle6"/>
  </w:abstractNum>
  <w:abstractNum w:abstractNumId="7" w15:restartNumberingAfterBreak="0">
    <w:nsid w:val="36C25DA2"/>
    <w:multiLevelType w:val="hybridMultilevel"/>
    <w:tmpl w:val="92FC39BA"/>
    <w:numStyleLink w:val="ImportedStyle4"/>
  </w:abstractNum>
  <w:abstractNum w:abstractNumId="8" w15:restartNumberingAfterBreak="0">
    <w:nsid w:val="3EA042CD"/>
    <w:multiLevelType w:val="hybridMultilevel"/>
    <w:tmpl w:val="9EA45F58"/>
    <w:numStyleLink w:val="ImportedStyle7"/>
  </w:abstractNum>
  <w:abstractNum w:abstractNumId="9" w15:restartNumberingAfterBreak="0">
    <w:nsid w:val="44CC13DC"/>
    <w:multiLevelType w:val="hybridMultilevel"/>
    <w:tmpl w:val="7012CDF0"/>
    <w:numStyleLink w:val="ImportedStyle8"/>
  </w:abstractNum>
  <w:abstractNum w:abstractNumId="10" w15:restartNumberingAfterBreak="0">
    <w:nsid w:val="4C7608E4"/>
    <w:multiLevelType w:val="hybridMultilevel"/>
    <w:tmpl w:val="7012CDF0"/>
    <w:styleLink w:val="ImportedStyle8"/>
    <w:lvl w:ilvl="0" w:tplc="0C0461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B845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DE00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031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AC3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94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81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00D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40F6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537298"/>
    <w:multiLevelType w:val="hybridMultilevel"/>
    <w:tmpl w:val="2E0CF316"/>
    <w:numStyleLink w:val="ImportedStyle2"/>
  </w:abstractNum>
  <w:abstractNum w:abstractNumId="12" w15:restartNumberingAfterBreak="0">
    <w:nsid w:val="503A78D0"/>
    <w:multiLevelType w:val="hybridMultilevel"/>
    <w:tmpl w:val="2E0CF316"/>
    <w:styleLink w:val="ImportedStyle2"/>
    <w:lvl w:ilvl="0" w:tplc="380474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CC2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632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00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0C1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E6A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D80A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668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629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84D5625"/>
    <w:multiLevelType w:val="hybridMultilevel"/>
    <w:tmpl w:val="11A079EE"/>
    <w:styleLink w:val="ImportedStyle10"/>
    <w:lvl w:ilvl="0" w:tplc="41EEDC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054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8A8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88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AEA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A30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F43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CF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640B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A46386"/>
    <w:multiLevelType w:val="hybridMultilevel"/>
    <w:tmpl w:val="9C04EABC"/>
    <w:numStyleLink w:val="ImportedStyle11"/>
  </w:abstractNum>
  <w:abstractNum w:abstractNumId="15" w15:restartNumberingAfterBreak="0">
    <w:nsid w:val="69524701"/>
    <w:multiLevelType w:val="hybridMultilevel"/>
    <w:tmpl w:val="11A079EE"/>
    <w:numStyleLink w:val="ImportedStyle10"/>
  </w:abstractNum>
  <w:abstractNum w:abstractNumId="16" w15:restartNumberingAfterBreak="0">
    <w:nsid w:val="6B9C04DF"/>
    <w:multiLevelType w:val="hybridMultilevel"/>
    <w:tmpl w:val="986E3F6A"/>
    <w:numStyleLink w:val="ImportedStyle9"/>
  </w:abstractNum>
  <w:abstractNum w:abstractNumId="17" w15:restartNumberingAfterBreak="0">
    <w:nsid w:val="6D506AE9"/>
    <w:multiLevelType w:val="hybridMultilevel"/>
    <w:tmpl w:val="5DB0B748"/>
    <w:styleLink w:val="ImportedStyle5"/>
    <w:lvl w:ilvl="0" w:tplc="FDE6E7B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2ADD6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C8FB8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6A91E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0DC4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0FE50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F0BC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A3A5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2C7F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1687711"/>
    <w:multiLevelType w:val="hybridMultilevel"/>
    <w:tmpl w:val="5104662A"/>
    <w:styleLink w:val="ImportedStyle3"/>
    <w:lvl w:ilvl="0" w:tplc="E16445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24F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4B6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893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CA6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049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AF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4092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E12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56646C"/>
    <w:multiLevelType w:val="hybridMultilevel"/>
    <w:tmpl w:val="92FC39BA"/>
    <w:styleLink w:val="ImportedStyle4"/>
    <w:lvl w:ilvl="0" w:tplc="EA48708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1D86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85F0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72F14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47F74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D8C8D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A5188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4718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C830E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BFB318A"/>
    <w:multiLevelType w:val="hybridMultilevel"/>
    <w:tmpl w:val="922C502C"/>
    <w:styleLink w:val="ImportedStyle6"/>
    <w:lvl w:ilvl="0" w:tplc="01E030A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8B136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8C570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223AA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25DAE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23A8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C257A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80A250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0F47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E81CB0"/>
    <w:multiLevelType w:val="hybridMultilevel"/>
    <w:tmpl w:val="5104662A"/>
    <w:numStyleLink w:val="ImportedStyle3"/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1"/>
    <w:lvlOverride w:ilvl="0">
      <w:startOverride w:val="3"/>
    </w:lvlOverride>
  </w:num>
  <w:num w:numId="6">
    <w:abstractNumId w:val="18"/>
  </w:num>
  <w:num w:numId="7">
    <w:abstractNumId w:val="21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7"/>
  </w:num>
  <w:num w:numId="11">
    <w:abstractNumId w:val="17"/>
  </w:num>
  <w:num w:numId="12">
    <w:abstractNumId w:val="3"/>
  </w:num>
  <w:num w:numId="13">
    <w:abstractNumId w:val="20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9"/>
  </w:num>
  <w:num w:numId="19">
    <w:abstractNumId w:val="4"/>
  </w:num>
  <w:num w:numId="20">
    <w:abstractNumId w:val="16"/>
  </w:num>
  <w:num w:numId="21">
    <w:abstractNumId w:val="13"/>
  </w:num>
  <w:num w:numId="22">
    <w:abstractNumId w:val="15"/>
  </w:num>
  <w:num w:numId="23">
    <w:abstractNumId w:val="1"/>
    <w:lvlOverride w:ilvl="0">
      <w:startOverride w:val="5"/>
    </w:lvlOverride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revisionView w:formatting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C8"/>
    <w:rsid w:val="000100C8"/>
    <w:rsid w:val="002F5159"/>
    <w:rsid w:val="00BB78D1"/>
    <w:rsid w:val="00E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969F6"/>
  <w15:docId w15:val="{A07836B3-AC7B-47CF-AE31-E3DCD20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numbering" w:customStyle="1" w:styleId="ImportedStyle8">
    <w:name w:val="Imported Style 8"/>
    <w:pPr>
      <w:numPr>
        <w:numId w:val="17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0">
    <w:name w:val="Imported Style 10"/>
    <w:pPr>
      <w:numPr>
        <w:numId w:val="21"/>
      </w:numPr>
    </w:pPr>
  </w:style>
  <w:style w:type="numbering" w:customStyle="1" w:styleId="ImportedStyle11">
    <w:name w:val="Imported Style 1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Flanagan</dc:creator>
  <cp:lastModifiedBy>Jenna Flanagan</cp:lastModifiedBy>
  <cp:revision>3</cp:revision>
  <dcterms:created xsi:type="dcterms:W3CDTF">2022-01-14T14:33:00Z</dcterms:created>
  <dcterms:modified xsi:type="dcterms:W3CDTF">2022-01-14T14:56:00Z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2022-01-14T14:24:02Z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c90e336d-aaee-4787-bdc6-67c51155a531</vt:lpwstr>
  </property>
  <property fmtid="{D5CDD505-2E9C-101B-9397-08002B2CF9AE}" pid="8" name="MSIP_Label_8ca96fd8-5f9a-4146-8576-c9b4c82bae20_ContentBits">
    <vt:lpwstr>0</vt:lpwstr>
  </property>
</Properties>
</file>